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280DF3E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900B5B">
        <w:rPr>
          <w:rFonts w:ascii="Times New Roman" w:hAnsi="Times New Roman" w:cs="Times New Roman"/>
          <w:b/>
          <w:bCs/>
        </w:rPr>
        <w:t>4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3123FD42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8B1611">
        <w:rPr>
          <w:rFonts w:ascii="Times New Roman" w:hAnsi="Times New Roman" w:cs="Times New Roman"/>
          <w:color w:val="000000"/>
        </w:rPr>
        <w:t>Titolare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77777777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>in carica Pierino Caresia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 massima chiarezza, Le precisiamo che, essendo fondato sulle predette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E’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lastRenderedPageBreak/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minimis)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4ACD711" w14:textId="6930DABF" w:rsidR="00FA4A85" w:rsidRPr="008B1611" w:rsidRDefault="00FA4A85" w:rsidP="008B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D.Lgs 196/2003 come modificato dal D.Lgs  101/2018.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7B6C" w14:textId="77777777" w:rsidR="0008600D" w:rsidRDefault="0008600D" w:rsidP="00207BF2">
      <w:pPr>
        <w:spacing w:after="0" w:line="240" w:lineRule="auto"/>
      </w:pPr>
      <w:r>
        <w:separator/>
      </w:r>
    </w:p>
  </w:endnote>
  <w:endnote w:type="continuationSeparator" w:id="0">
    <w:p w14:paraId="50043E2D" w14:textId="77777777" w:rsidR="0008600D" w:rsidRDefault="0008600D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03A4" w14:textId="77777777" w:rsidR="0008600D" w:rsidRDefault="0008600D" w:rsidP="00207BF2">
      <w:pPr>
        <w:spacing w:after="0" w:line="240" w:lineRule="auto"/>
      </w:pPr>
      <w:r>
        <w:separator/>
      </w:r>
    </w:p>
  </w:footnote>
  <w:footnote w:type="continuationSeparator" w:id="0">
    <w:p w14:paraId="63154076" w14:textId="77777777" w:rsidR="0008600D" w:rsidRDefault="0008600D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1313" w14:textId="4D695D9D" w:rsidR="009F1196" w:rsidRPr="00EC7980" w:rsidRDefault="009F1196" w:rsidP="009F1196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 w:rsidR="00D510A8">
      <w:rPr>
        <w:rFonts w:ascii="Times New Roman" w:hAnsi="Times New Roman"/>
        <w:b/>
        <w:bCs/>
        <w:color w:val="808080" w:themeColor="background1" w:themeShade="80"/>
      </w:rPr>
      <w:t>6.4 B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2022</w:t>
    </w:r>
  </w:p>
  <w:p w14:paraId="52078A3B" w14:textId="22765CBA" w:rsidR="009F1196" w:rsidRPr="00EC7980" w:rsidRDefault="009F1196" w:rsidP="009F1196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n.8</w:t>
    </w:r>
    <w:r w:rsidR="00D510A8">
      <w:rPr>
        <w:rFonts w:ascii="Times New Roman" w:hAnsi="Times New Roman"/>
        <w:b/>
        <w:bCs/>
        <w:color w:val="808080" w:themeColor="background1" w:themeShade="80"/>
      </w:rPr>
      <w:t>3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3A3715">
      <w:rPr>
        <w:rFonts w:ascii="Times New Roman" w:hAnsi="Times New Roman"/>
        <w:b/>
        <w:bCs/>
        <w:color w:val="808080" w:themeColor="background1" w:themeShade="80"/>
      </w:rPr>
      <w:t>14</w:t>
    </w:r>
    <w:r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  <w:p w14:paraId="1C675CA7" w14:textId="77777777" w:rsidR="00207BF2" w:rsidRDefault="00207B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8600D"/>
    <w:rsid w:val="001E480D"/>
    <w:rsid w:val="00207BF2"/>
    <w:rsid w:val="00222C88"/>
    <w:rsid w:val="003418C0"/>
    <w:rsid w:val="003A3715"/>
    <w:rsid w:val="00663953"/>
    <w:rsid w:val="007C50C8"/>
    <w:rsid w:val="008358A6"/>
    <w:rsid w:val="00861E6A"/>
    <w:rsid w:val="008B1611"/>
    <w:rsid w:val="00900B5B"/>
    <w:rsid w:val="009845FA"/>
    <w:rsid w:val="009F1196"/>
    <w:rsid w:val="009F5F90"/>
    <w:rsid w:val="00BF113A"/>
    <w:rsid w:val="00C965C4"/>
    <w:rsid w:val="00CE2ED5"/>
    <w:rsid w:val="00D50FFE"/>
    <w:rsid w:val="00D510A8"/>
    <w:rsid w:val="00D72F21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Direttore - Gal Trentino Orientale</cp:lastModifiedBy>
  <cp:revision>16</cp:revision>
  <dcterms:created xsi:type="dcterms:W3CDTF">2019-01-23T15:02:00Z</dcterms:created>
  <dcterms:modified xsi:type="dcterms:W3CDTF">2022-07-15T09:15:00Z</dcterms:modified>
</cp:coreProperties>
</file>